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DE0746" w14:textId="210646EE" w:rsidR="00EE3A14" w:rsidRDefault="00EE3A14">
      <w:pPr>
        <w:rPr>
          <w:rFonts w:ascii="Times New Roman" w:hAnsi="Times New Roman" w:cs="Times New Roman"/>
          <w:b/>
          <w:bCs/>
          <w:sz w:val="20"/>
          <w:szCs w:val="20"/>
        </w:rPr>
      </w:pPr>
      <w:r w:rsidRPr="00EE3A14">
        <w:rPr>
          <w:rFonts w:ascii="Times New Roman" w:hAnsi="Times New Roman" w:cs="Times New Roman"/>
          <w:b/>
          <w:bCs/>
          <w:sz w:val="20"/>
          <w:szCs w:val="20"/>
        </w:rPr>
        <w:t>The parameter selection of Spearman Correlation Coefficient (SCC) used in our network construction</w:t>
      </w:r>
    </w:p>
    <w:p w14:paraId="08DBEBC9" w14:textId="6B076ED8" w:rsidR="00EE3A14" w:rsidRDefault="00EE3A14">
      <w:pPr>
        <w:rPr>
          <w:rFonts w:ascii="Times New Roman" w:hAnsi="Times New Roman" w:cs="Times New Roman"/>
          <w:sz w:val="20"/>
          <w:szCs w:val="20"/>
        </w:rPr>
      </w:pPr>
      <w:r w:rsidRPr="00EE3A14">
        <w:rPr>
          <w:rFonts w:ascii="Times New Roman" w:hAnsi="Times New Roman" w:cs="Times New Roman"/>
          <w:sz w:val="20"/>
          <w:szCs w:val="20"/>
        </w:rPr>
        <w:t xml:space="preserve">In our study, </w:t>
      </w:r>
      <w:r w:rsidR="00BF5DAB">
        <w:rPr>
          <w:rFonts w:ascii="Times New Roman" w:hAnsi="Times New Roman" w:cs="Times New Roman"/>
          <w:sz w:val="20"/>
          <w:szCs w:val="20"/>
        </w:rPr>
        <w:t xml:space="preserve">differential network analyses were used </w:t>
      </w:r>
      <w:r>
        <w:rPr>
          <w:rFonts w:ascii="Times New Roman" w:hAnsi="Times New Roman" w:cs="Times New Roman"/>
          <w:sz w:val="20"/>
          <w:szCs w:val="20"/>
        </w:rPr>
        <w:t xml:space="preserve">to identify the candidate regulatory patterns (CRP) </w:t>
      </w:r>
      <w:r w:rsidR="00D04B5D">
        <w:rPr>
          <w:rFonts w:ascii="Times New Roman" w:hAnsi="Times New Roman" w:cs="Times New Roman" w:hint="eastAsia"/>
          <w:sz w:val="20"/>
          <w:szCs w:val="20"/>
        </w:rPr>
        <w:t>across</w:t>
      </w:r>
      <w:r w:rsidR="00D04B5D">
        <w:rPr>
          <w:rFonts w:ascii="Times New Roman" w:hAnsi="Times New Roman" w:cs="Times New Roman"/>
          <w:sz w:val="20"/>
          <w:szCs w:val="20"/>
        </w:rPr>
        <w:t xml:space="preserve"> multi</w:t>
      </w:r>
      <w:r w:rsidR="0047286F">
        <w:rPr>
          <w:rFonts w:ascii="Times New Roman" w:hAnsi="Times New Roman" w:cs="Times New Roman"/>
          <w:sz w:val="20"/>
          <w:szCs w:val="20"/>
        </w:rPr>
        <w:t>ple paths</w:t>
      </w:r>
      <w:r w:rsidR="00D04B5D">
        <w:rPr>
          <w:rFonts w:ascii="Times New Roman" w:hAnsi="Times New Roman" w:cs="Times New Roman"/>
          <w:sz w:val="20"/>
          <w:szCs w:val="20"/>
        </w:rPr>
        <w:t xml:space="preserve"> of neural stem cells differentiation. Differential network analyses are able to prioritize genes between two networks with different biological conditions (e.g. cancer versus normal). However, the identification accuracy by differential network analyses rely on robust network skeleton</w:t>
      </w:r>
      <w:r w:rsidR="00E252EE">
        <w:rPr>
          <w:rFonts w:ascii="Times New Roman" w:hAnsi="Times New Roman" w:cs="Times New Roman"/>
          <w:sz w:val="20"/>
          <w:szCs w:val="20"/>
        </w:rPr>
        <w:t xml:space="preserve"> </w:t>
      </w:r>
      <w:r w:rsidR="00E252EE">
        <w:rPr>
          <w:rFonts w:ascii="Times New Roman" w:hAnsi="Times New Roman" w:cs="Times New Roman"/>
          <w:sz w:val="20"/>
          <w:szCs w:val="20"/>
        </w:rPr>
        <w:fldChar w:fldCharType="begin">
          <w:fldData xml:space="preserve">PEVuZE5vdGU+PENpdGU+PEF1dGhvcj5DaGFzbWFuPC9BdXRob3I+PFllYXI+MjAxNjwvWWVhcj48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</w:fldData>
        </w:fldChar>
      </w:r>
      <w:r w:rsidR="00E252EE">
        <w:rPr>
          <w:rFonts w:ascii="Times New Roman" w:hAnsi="Times New Roman" w:cs="Times New Roman"/>
          <w:sz w:val="20"/>
          <w:szCs w:val="20"/>
        </w:rPr>
        <w:instrText xml:space="preserve"> ADDIN EN.CITE </w:instrText>
      </w:r>
      <w:r w:rsidR="00E252EE">
        <w:rPr>
          <w:rFonts w:ascii="Times New Roman" w:hAnsi="Times New Roman" w:cs="Times New Roman"/>
          <w:sz w:val="20"/>
          <w:szCs w:val="20"/>
        </w:rPr>
        <w:fldChar w:fldCharType="begin">
          <w:fldData xml:space="preserve">PEVuZE5vdGU+PENpdGU+PEF1dGhvcj5DaGFzbWFuPC9BdXRob3I+PFllYXI+MjAxNjwvWWVhcj48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</w:fldData>
        </w:fldChar>
      </w:r>
      <w:r w:rsidR="00E252EE">
        <w:rPr>
          <w:rFonts w:ascii="Times New Roman" w:hAnsi="Times New Roman" w:cs="Times New Roman"/>
          <w:sz w:val="20"/>
          <w:szCs w:val="20"/>
        </w:rPr>
        <w:instrText xml:space="preserve"> ADDIN EN.CITE.DATA </w:instrText>
      </w:r>
      <w:r w:rsidR="00E252EE">
        <w:rPr>
          <w:rFonts w:ascii="Times New Roman" w:hAnsi="Times New Roman" w:cs="Times New Roman"/>
          <w:sz w:val="20"/>
          <w:szCs w:val="20"/>
        </w:rPr>
      </w:r>
      <w:r w:rsidR="00E252EE">
        <w:rPr>
          <w:rFonts w:ascii="Times New Roman" w:hAnsi="Times New Roman" w:cs="Times New Roman"/>
          <w:sz w:val="20"/>
          <w:szCs w:val="20"/>
        </w:rPr>
        <w:fldChar w:fldCharType="end"/>
      </w:r>
      <w:r w:rsidR="00E252EE">
        <w:rPr>
          <w:rFonts w:ascii="Times New Roman" w:hAnsi="Times New Roman" w:cs="Times New Roman"/>
          <w:sz w:val="20"/>
          <w:szCs w:val="20"/>
        </w:rPr>
        <w:fldChar w:fldCharType="separate"/>
      </w:r>
      <w:r w:rsidR="00E252EE">
        <w:rPr>
          <w:rFonts w:ascii="Times New Roman" w:hAnsi="Times New Roman" w:cs="Times New Roman"/>
          <w:noProof/>
          <w:sz w:val="20"/>
          <w:szCs w:val="20"/>
        </w:rPr>
        <w:t>[1]</w:t>
      </w:r>
      <w:r w:rsidR="00E252EE">
        <w:rPr>
          <w:rFonts w:ascii="Times New Roman" w:hAnsi="Times New Roman" w:cs="Times New Roman"/>
          <w:sz w:val="20"/>
          <w:szCs w:val="20"/>
        </w:rPr>
        <w:fldChar w:fldCharType="end"/>
      </w:r>
      <w:r w:rsidR="00D04B5D">
        <w:rPr>
          <w:rFonts w:ascii="Times New Roman" w:hAnsi="Times New Roman" w:cs="Times New Roman"/>
          <w:sz w:val="20"/>
          <w:szCs w:val="20"/>
        </w:rPr>
        <w:t xml:space="preserve">. The unbalanced distribution of SCCs </w:t>
      </w:r>
      <w:r w:rsidR="00E252EE">
        <w:rPr>
          <w:rFonts w:ascii="Times New Roman" w:hAnsi="Times New Roman" w:cs="Times New Roman"/>
          <w:sz w:val="20"/>
          <w:szCs w:val="20"/>
        </w:rPr>
        <w:t xml:space="preserve">in the different networks could be result in deviating rankings of the entities leading to incorrectly derived differential centralities </w:t>
      </w:r>
      <w:r w:rsidR="00E252EE">
        <w:rPr>
          <w:rFonts w:ascii="Times New Roman" w:hAnsi="Times New Roman" w:cs="Times New Roman"/>
          <w:sz w:val="20"/>
          <w:szCs w:val="20"/>
        </w:rPr>
        <w:fldChar w:fldCharType="begin"/>
      </w:r>
      <w:r w:rsidR="00E252EE">
        <w:rPr>
          <w:rFonts w:ascii="Times New Roman" w:hAnsi="Times New Roman" w:cs="Times New Roman"/>
          <w:sz w:val="20"/>
          <w:szCs w:val="20"/>
        </w:rPr>
        <w:instrText xml:space="preserve"> ADDIN EN.CITE &lt;EndNote&gt;&lt;Cite&gt;&lt;Author&gt;Lichtblau&lt;/Author&gt;&lt;Year&gt;2017&lt;/Year&gt;&lt;RecNum&gt;26&lt;/RecNum&gt;&lt;DisplayText&gt;[2]&lt;/DisplayText&gt;&lt;record&gt;&lt;rec-number&gt;26&lt;/rec-number&gt;&lt;foreign-keys&gt;&lt;key app="EN" db-id="swafs055kwatawe5ezc50fwdtvpxtvwwpee0" timestamp="1554787868"&gt;26&lt;/key&gt;&lt;key app="ENWeb" db-id=""&gt;0&lt;/key&gt;&lt;/foreign-keys&gt;&lt;ref-type name="Journal Article"&gt;17&lt;/ref-type&gt;&lt;contributors&gt;&lt;authors&gt;&lt;author&gt;Lichtblau, Y.&lt;/author&gt;&lt;author&gt;Zimmermann, K.&lt;/author&gt;&lt;author&gt;Haldemann, B.&lt;/author&gt;&lt;author&gt;Lenze, D.&lt;/author&gt;&lt;author&gt;Hummel, M.&lt;/author&gt;&lt;author&gt;Leser, U.&lt;/author&gt;&lt;/authors&gt;&lt;/contributors&gt;&lt;titles&gt;&lt;title&gt;Comparative assessment of differential network analysis methods&lt;/title&gt;&lt;secondary-title&gt;Brief Bioinform&lt;/secondary-title&gt;&lt;/titles&gt;&lt;periodical&gt;&lt;full-title&gt;Brief Bioinform&lt;/full-title&gt;&lt;/periodical&gt;&lt;pages&gt;837-850&lt;/pages&gt;&lt;volume&gt;18&lt;/volume&gt;&lt;number&gt;5&lt;/number&gt;&lt;edition&gt;2016/07/31&lt;/edition&gt;&lt;keywords&gt;&lt;keyword&gt;Algorithms&lt;/keyword&gt;&lt;keyword&gt;Computational Biology&lt;/keyword&gt;&lt;keyword&gt;Gene Expression Profiling&lt;/keyword&gt;&lt;keyword&gt;*Gene Regulatory Networks&lt;/keyword&gt;&lt;keyword&gt;MicroRNAs&lt;/keyword&gt;&lt;keyword&gt;*biomarker&lt;/keyword&gt;&lt;keyword&gt;*differential network analysis&lt;/keyword&gt;&lt;keyword&gt;*gene-regulatory networks&lt;/keyword&gt;&lt;keyword&gt;*miRNAs&lt;/keyword&gt;&lt;keyword&gt;*transcriptome data&lt;/keyword&gt;&lt;/keywords&gt;&lt;dates&gt;&lt;year&gt;2017&lt;/year&gt;&lt;pub-dates&gt;&lt;date&gt;Sep 1&lt;/date&gt;&lt;/pub-dates&gt;&lt;/dates&gt;&lt;isbn&gt;1477-4054 (Electronic)&amp;#xD;1467-5463 (Linking)&lt;/isbn&gt;&lt;accession-num&gt;27473063&lt;/accession-num&gt;&lt;urls&gt;&lt;related-urls&gt;&lt;url&gt;https://www.ncbi.nlm.nih.gov/pubmed/27473063&lt;/url&gt;&lt;/related-urls&gt;&lt;/urls&gt;&lt;electronic-resource-num&gt;10.1093/bib/bbw061&lt;/electronic-resource-num&gt;&lt;/record&gt;&lt;/Cite&gt;&lt;/EndNote&gt;</w:instrText>
      </w:r>
      <w:r w:rsidR="00E252EE">
        <w:rPr>
          <w:rFonts w:ascii="Times New Roman" w:hAnsi="Times New Roman" w:cs="Times New Roman"/>
          <w:sz w:val="20"/>
          <w:szCs w:val="20"/>
        </w:rPr>
        <w:fldChar w:fldCharType="separate"/>
      </w:r>
      <w:r w:rsidR="00E252EE">
        <w:rPr>
          <w:rFonts w:ascii="Times New Roman" w:hAnsi="Times New Roman" w:cs="Times New Roman"/>
          <w:noProof/>
          <w:sz w:val="20"/>
          <w:szCs w:val="20"/>
        </w:rPr>
        <w:t>[2]</w:t>
      </w:r>
      <w:r w:rsidR="00E252EE">
        <w:rPr>
          <w:rFonts w:ascii="Times New Roman" w:hAnsi="Times New Roman" w:cs="Times New Roman"/>
          <w:sz w:val="20"/>
          <w:szCs w:val="20"/>
        </w:rPr>
        <w:fldChar w:fldCharType="end"/>
      </w:r>
      <w:r w:rsidR="00E252EE">
        <w:rPr>
          <w:rFonts w:ascii="Times New Roman" w:hAnsi="Times New Roman" w:cs="Times New Roman"/>
          <w:sz w:val="20"/>
          <w:szCs w:val="20"/>
        </w:rPr>
        <w:t>.</w:t>
      </w:r>
    </w:p>
    <w:p w14:paraId="1702F5F6" w14:textId="354A6BE1" w:rsidR="00D04B5D" w:rsidRPr="00EE3A14" w:rsidRDefault="00D04B5D">
      <w:pPr>
        <w:rPr>
          <w:rFonts w:ascii="Times New Roman" w:hAnsi="Times New Roman" w:cs="Times New Roman"/>
          <w:sz w:val="20"/>
          <w:szCs w:val="20"/>
        </w:rPr>
      </w:pPr>
      <w:r>
        <w:rPr>
          <w:rFonts w:ascii="Times New Roman" w:hAnsi="Times New Roman" w:cs="Times New Roman"/>
          <w:sz w:val="20"/>
          <w:szCs w:val="20"/>
        </w:rPr>
        <w:tab/>
        <w:t xml:space="preserve">As such, </w:t>
      </w:r>
      <w:r w:rsidR="00E252EE">
        <w:rPr>
          <w:rFonts w:ascii="Times New Roman" w:hAnsi="Times New Roman" w:cs="Times New Roman"/>
          <w:sz w:val="20"/>
          <w:szCs w:val="20"/>
        </w:rPr>
        <w:t>we chose SCC=0.1 which is supported by the graphical display of the distribution of SCCs in the different networks (Supplementary Figure 1). As is shown in Supplementary Figure 1, each path contains two biological state</w:t>
      </w:r>
      <w:r w:rsidR="00F94CBC">
        <w:rPr>
          <w:rFonts w:ascii="Times New Roman" w:hAnsi="Times New Roman" w:cs="Times New Roman"/>
          <w:sz w:val="20"/>
          <w:szCs w:val="20"/>
        </w:rPr>
        <w:t>s</w:t>
      </w:r>
      <w:r w:rsidR="00C61BF1">
        <w:rPr>
          <w:rFonts w:ascii="Times New Roman" w:hAnsi="Times New Roman" w:cs="Times New Roman"/>
          <w:sz w:val="20"/>
          <w:szCs w:val="20"/>
        </w:rPr>
        <w:t xml:space="preserve"> (</w:t>
      </w:r>
      <w:r w:rsidR="00F94CBC">
        <w:rPr>
          <w:rFonts w:ascii="Times New Roman" w:hAnsi="Times New Roman" w:cs="Times New Roman"/>
          <w:sz w:val="20"/>
          <w:szCs w:val="20"/>
        </w:rPr>
        <w:t xml:space="preserve">named as </w:t>
      </w:r>
      <w:proofErr w:type="spellStart"/>
      <w:r w:rsidR="00C61BF1">
        <w:rPr>
          <w:rFonts w:ascii="Times New Roman" w:hAnsi="Times New Roman" w:cs="Times New Roman"/>
          <w:sz w:val="20"/>
          <w:szCs w:val="20"/>
        </w:rPr>
        <w:t>cmp</w:t>
      </w:r>
      <w:proofErr w:type="spellEnd"/>
      <w:r w:rsidR="00C61BF1">
        <w:rPr>
          <w:rFonts w:ascii="Times New Roman" w:hAnsi="Times New Roman" w:cs="Times New Roman"/>
          <w:sz w:val="20"/>
          <w:szCs w:val="20"/>
        </w:rPr>
        <w:t xml:space="preserve"> and </w:t>
      </w:r>
      <w:proofErr w:type="spellStart"/>
      <w:r w:rsidR="00C61BF1">
        <w:rPr>
          <w:rFonts w:ascii="Times New Roman" w:hAnsi="Times New Roman" w:cs="Times New Roman"/>
          <w:sz w:val="20"/>
          <w:szCs w:val="20"/>
        </w:rPr>
        <w:t>ctl</w:t>
      </w:r>
      <w:proofErr w:type="spellEnd"/>
      <w:r w:rsidR="00C61BF1">
        <w:rPr>
          <w:rFonts w:ascii="Times New Roman" w:hAnsi="Times New Roman" w:cs="Times New Roman"/>
          <w:sz w:val="20"/>
          <w:szCs w:val="20"/>
        </w:rPr>
        <w:t xml:space="preserve"> in the plot), </w:t>
      </w:r>
      <w:r w:rsidR="00E252EE">
        <w:rPr>
          <w:rFonts w:ascii="Times New Roman" w:hAnsi="Times New Roman" w:cs="Times New Roman"/>
          <w:sz w:val="20"/>
          <w:szCs w:val="20"/>
        </w:rPr>
        <w:t>the features (mean and standard deviation) of distribution of SCCs</w:t>
      </w:r>
      <w:r w:rsidR="00C61BF1">
        <w:rPr>
          <w:rFonts w:ascii="Times New Roman" w:hAnsi="Times New Roman" w:cs="Times New Roman"/>
          <w:sz w:val="20"/>
          <w:szCs w:val="20"/>
        </w:rPr>
        <w:t xml:space="preserve"> were calculated after removing the edges with SCCs lower than threshold iteratively. To meet the requirement of balanced </w:t>
      </w:r>
      <w:r w:rsidR="00C61BF1">
        <w:rPr>
          <w:rFonts w:ascii="Times New Roman" w:hAnsi="Times New Roman" w:cs="Times New Roman"/>
          <w:sz w:val="20"/>
          <w:szCs w:val="20"/>
        </w:rPr>
        <w:t>distribution of SCCs in the different networks</w:t>
      </w:r>
      <w:r w:rsidR="00C61BF1">
        <w:rPr>
          <w:rFonts w:ascii="Times New Roman" w:hAnsi="Times New Roman" w:cs="Times New Roman"/>
          <w:sz w:val="20"/>
          <w:szCs w:val="20"/>
        </w:rPr>
        <w:t xml:space="preserve"> in all paths, the </w:t>
      </w:r>
      <w:r w:rsidR="00BF5DAB">
        <w:rPr>
          <w:rFonts w:ascii="Times New Roman" w:hAnsi="Times New Roman" w:cs="Times New Roman"/>
          <w:sz w:val="20"/>
          <w:szCs w:val="20"/>
        </w:rPr>
        <w:t xml:space="preserve">size and color of </w:t>
      </w:r>
      <w:r w:rsidR="00C61BF1">
        <w:rPr>
          <w:rFonts w:ascii="Times New Roman" w:hAnsi="Times New Roman" w:cs="Times New Roman"/>
          <w:sz w:val="20"/>
          <w:szCs w:val="20"/>
        </w:rPr>
        <w:t>node</w:t>
      </w:r>
      <w:r w:rsidR="00BF5DAB">
        <w:rPr>
          <w:rFonts w:ascii="Times New Roman" w:hAnsi="Times New Roman" w:cs="Times New Roman"/>
          <w:sz w:val="20"/>
          <w:szCs w:val="20"/>
        </w:rPr>
        <w:t>s</w:t>
      </w:r>
      <w:r w:rsidR="00C61BF1">
        <w:rPr>
          <w:rFonts w:ascii="Times New Roman" w:hAnsi="Times New Roman" w:cs="Times New Roman"/>
          <w:sz w:val="20"/>
          <w:szCs w:val="20"/>
        </w:rPr>
        <w:t xml:space="preserve"> </w:t>
      </w:r>
      <w:bookmarkStart w:id="0" w:name="_GoBack"/>
      <w:bookmarkEnd w:id="0"/>
      <w:r w:rsidR="00C61BF1">
        <w:rPr>
          <w:rFonts w:ascii="Times New Roman" w:hAnsi="Times New Roman" w:cs="Times New Roman"/>
          <w:sz w:val="20"/>
          <w:szCs w:val="20"/>
        </w:rPr>
        <w:t xml:space="preserve">between </w:t>
      </w:r>
      <w:proofErr w:type="spellStart"/>
      <w:r w:rsidR="00C61BF1">
        <w:rPr>
          <w:rFonts w:ascii="Times New Roman" w:hAnsi="Times New Roman" w:cs="Times New Roman"/>
          <w:sz w:val="20"/>
          <w:szCs w:val="20"/>
        </w:rPr>
        <w:t>cmp</w:t>
      </w:r>
      <w:proofErr w:type="spellEnd"/>
      <w:r w:rsidR="00C61BF1">
        <w:rPr>
          <w:rFonts w:ascii="Times New Roman" w:hAnsi="Times New Roman" w:cs="Times New Roman"/>
          <w:sz w:val="20"/>
          <w:szCs w:val="20"/>
        </w:rPr>
        <w:t xml:space="preserve"> and</w:t>
      </w:r>
      <w:r w:rsidR="00BF5DAB">
        <w:rPr>
          <w:rFonts w:ascii="Times New Roman" w:hAnsi="Times New Roman" w:cs="Times New Roman"/>
          <w:sz w:val="20"/>
          <w:szCs w:val="20"/>
        </w:rPr>
        <w:t xml:space="preserve"> that of</w:t>
      </w:r>
      <w:r w:rsidR="00C61BF1">
        <w:rPr>
          <w:rFonts w:ascii="Times New Roman" w:hAnsi="Times New Roman" w:cs="Times New Roman"/>
          <w:sz w:val="20"/>
          <w:szCs w:val="20"/>
        </w:rPr>
        <w:t xml:space="preserve"> </w:t>
      </w:r>
      <w:proofErr w:type="spellStart"/>
      <w:r w:rsidR="00C61BF1">
        <w:rPr>
          <w:rFonts w:ascii="Times New Roman" w:hAnsi="Times New Roman" w:cs="Times New Roman"/>
          <w:sz w:val="20"/>
          <w:szCs w:val="20"/>
        </w:rPr>
        <w:t>ctl</w:t>
      </w:r>
      <w:proofErr w:type="spellEnd"/>
      <w:r w:rsidR="00C61BF1">
        <w:rPr>
          <w:rFonts w:ascii="Times New Roman" w:hAnsi="Times New Roman" w:cs="Times New Roman"/>
          <w:sz w:val="20"/>
          <w:szCs w:val="20"/>
        </w:rPr>
        <w:t xml:space="preserve"> </w:t>
      </w:r>
      <w:r w:rsidR="00BF5DAB">
        <w:rPr>
          <w:rFonts w:ascii="Times New Roman" w:hAnsi="Times New Roman" w:cs="Times New Roman"/>
          <w:sz w:val="20"/>
          <w:szCs w:val="20"/>
        </w:rPr>
        <w:t>should be similar</w:t>
      </w:r>
      <w:r w:rsidR="00C61BF1">
        <w:rPr>
          <w:rFonts w:ascii="Times New Roman" w:hAnsi="Times New Roman" w:cs="Times New Roman"/>
          <w:sz w:val="20"/>
          <w:szCs w:val="20"/>
        </w:rPr>
        <w:t xml:space="preserve">. Therefore, </w:t>
      </w:r>
      <w:r w:rsidR="00BF5DAB">
        <w:rPr>
          <w:rFonts w:ascii="Times New Roman" w:hAnsi="Times New Roman" w:cs="Times New Roman"/>
          <w:sz w:val="20"/>
          <w:szCs w:val="20"/>
        </w:rPr>
        <w:t>SCC=0.1 was picked up.</w:t>
      </w:r>
    </w:p>
    <w:p w14:paraId="2BDDF886" w14:textId="7FC50C86" w:rsidR="00E252EE" w:rsidRDefault="00EE3A14" w:rsidP="00326F92">
      <w:pPr>
        <w:jc w:val="center"/>
      </w:pPr>
      <w:r>
        <w:rPr>
          <w:noProof/>
        </w:rPr>
        <w:drawing>
          <wp:inline distT="0" distB="0" distL="0" distR="0" wp14:anchorId="4D2C53F3" wp14:editId="426FEA20">
            <wp:extent cx="4463691" cy="3192727"/>
            <wp:effectExtent l="0" t="0" r="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482205" cy="3205969"/>
                    </a:xfrm>
                    <a:prstGeom prst="rect">
                      <a:avLst/>
                    </a:prstGeom>
                  </pic:spPr>
                </pic:pic>
              </a:graphicData>
            </a:graphic>
          </wp:inline>
        </w:drawing>
      </w:r>
    </w:p>
    <w:p w14:paraId="457E6CD6" w14:textId="516526B5" w:rsidR="00326F92" w:rsidRPr="00326F92" w:rsidRDefault="00326F92" w:rsidP="00326F92">
      <w:pPr>
        <w:jc w:val="left"/>
        <w:rPr>
          <w:rFonts w:ascii="Times New Roman" w:hAnsi="Times New Roman" w:cs="Times New Roman"/>
          <w:sz w:val="20"/>
          <w:szCs w:val="20"/>
        </w:rPr>
      </w:pPr>
      <w:r w:rsidRPr="000E5F40">
        <w:rPr>
          <w:rFonts w:ascii="Times New Roman" w:hAnsi="Times New Roman" w:cs="Times New Roman"/>
          <w:b/>
          <w:bCs/>
          <w:sz w:val="20"/>
          <w:szCs w:val="20"/>
        </w:rPr>
        <w:t>Supplementary Figure 1.</w:t>
      </w:r>
      <w:r w:rsidRPr="00326F92">
        <w:rPr>
          <w:rFonts w:ascii="Times New Roman" w:hAnsi="Times New Roman" w:cs="Times New Roman"/>
          <w:sz w:val="20"/>
          <w:szCs w:val="20"/>
        </w:rPr>
        <w:t xml:space="preserve"> The features of distribution of SCCs in the different network in five paths of neural stem cells differentiation. </w:t>
      </w:r>
      <w:r w:rsidR="00F94CBC">
        <w:rPr>
          <w:rFonts w:ascii="Times New Roman" w:hAnsi="Times New Roman" w:cs="Times New Roman"/>
          <w:sz w:val="20"/>
          <w:szCs w:val="20"/>
        </w:rPr>
        <w:t xml:space="preserve">Each path contains two biological states (named as </w:t>
      </w:r>
      <w:proofErr w:type="spellStart"/>
      <w:r w:rsidR="00F94CBC">
        <w:rPr>
          <w:rFonts w:ascii="Times New Roman" w:hAnsi="Times New Roman" w:cs="Times New Roman"/>
          <w:sz w:val="20"/>
          <w:szCs w:val="20"/>
        </w:rPr>
        <w:t>cmp</w:t>
      </w:r>
      <w:proofErr w:type="spellEnd"/>
      <w:r w:rsidR="00F94CBC">
        <w:rPr>
          <w:rFonts w:ascii="Times New Roman" w:hAnsi="Times New Roman" w:cs="Times New Roman"/>
          <w:sz w:val="20"/>
          <w:szCs w:val="20"/>
        </w:rPr>
        <w:t xml:space="preserve"> and </w:t>
      </w:r>
      <w:proofErr w:type="spellStart"/>
      <w:r w:rsidR="00F94CBC">
        <w:rPr>
          <w:rFonts w:ascii="Times New Roman" w:hAnsi="Times New Roman" w:cs="Times New Roman"/>
          <w:sz w:val="20"/>
          <w:szCs w:val="20"/>
        </w:rPr>
        <w:t>ctl</w:t>
      </w:r>
      <w:proofErr w:type="spellEnd"/>
      <w:r w:rsidR="00F94CBC">
        <w:rPr>
          <w:rFonts w:ascii="Times New Roman" w:hAnsi="Times New Roman" w:cs="Times New Roman"/>
          <w:sz w:val="20"/>
          <w:szCs w:val="20"/>
        </w:rPr>
        <w:t xml:space="preserve"> in the plot</w:t>
      </w:r>
      <w:proofErr w:type="gramStart"/>
      <w:r w:rsidR="00F94CBC">
        <w:rPr>
          <w:rFonts w:ascii="Times New Roman" w:hAnsi="Times New Roman" w:cs="Times New Roman"/>
          <w:sz w:val="20"/>
          <w:szCs w:val="20"/>
        </w:rPr>
        <w:t>).</w:t>
      </w:r>
      <w:r w:rsidRPr="00326F92">
        <w:rPr>
          <w:rFonts w:ascii="Times New Roman" w:hAnsi="Times New Roman" w:cs="Times New Roman"/>
          <w:sz w:val="20"/>
          <w:szCs w:val="20"/>
        </w:rPr>
        <w:t>The</w:t>
      </w:r>
      <w:proofErr w:type="gramEnd"/>
      <w:r w:rsidRPr="00326F92">
        <w:rPr>
          <w:rFonts w:ascii="Times New Roman" w:hAnsi="Times New Roman" w:cs="Times New Roman"/>
          <w:sz w:val="20"/>
          <w:szCs w:val="20"/>
        </w:rPr>
        <w:t xml:space="preserve"> mean and standard deviation of distribution of SCCs were calculated after removing the edges with SCCs lower than threshold iteratively. The size and color of nodes corresponding to mean and standard deviation of distribution, respectively.</w:t>
      </w:r>
    </w:p>
    <w:p w14:paraId="329CF00F" w14:textId="1B11D914" w:rsidR="00E252EE" w:rsidRDefault="00E252EE"/>
    <w:p w14:paraId="16C19156" w14:textId="1AF14525" w:rsidR="000E5F40" w:rsidRDefault="000E5F40"/>
    <w:p w14:paraId="34F6590F" w14:textId="02868DFA" w:rsidR="000E5F40" w:rsidRPr="000E5F40" w:rsidRDefault="000E5F40">
      <w:pPr>
        <w:rPr>
          <w:b/>
          <w:bCs/>
          <w:sz w:val="25"/>
          <w:szCs w:val="26"/>
        </w:rPr>
      </w:pPr>
      <w:r w:rsidRPr="000E5F40">
        <w:rPr>
          <w:b/>
          <w:bCs/>
          <w:sz w:val="25"/>
          <w:szCs w:val="26"/>
        </w:rPr>
        <w:t>References</w:t>
      </w:r>
    </w:p>
    <w:p w14:paraId="0AA037B2" w14:textId="77777777" w:rsidR="000E5F40" w:rsidRPr="000E5F40" w:rsidRDefault="00E252EE" w:rsidP="000E5F40">
      <w:pPr>
        <w:pStyle w:val="EndNoteBibliography"/>
        <w:ind w:left="720" w:hanging="720"/>
      </w:pPr>
      <w:r>
        <w:fldChar w:fldCharType="begin"/>
      </w:r>
      <w:r>
        <w:instrText xml:space="preserve"> ADDIN EN.REFLIST </w:instrText>
      </w:r>
      <w:r>
        <w:fldChar w:fldCharType="separate"/>
      </w:r>
      <w:r w:rsidR="000E5F40" w:rsidRPr="000E5F40">
        <w:t>1.</w:t>
      </w:r>
      <w:r w:rsidR="000E5F40" w:rsidRPr="000E5F40">
        <w:tab/>
        <w:t xml:space="preserve">Chasman D, Fotuhi Siahpirani A, Roy S: </w:t>
      </w:r>
      <w:r w:rsidR="000E5F40" w:rsidRPr="000E5F40">
        <w:rPr>
          <w:b/>
        </w:rPr>
        <w:t>Network-based approaches for analysis of complex biological systems</w:t>
      </w:r>
      <w:r w:rsidR="000E5F40" w:rsidRPr="000E5F40">
        <w:t xml:space="preserve">. </w:t>
      </w:r>
      <w:r w:rsidR="000E5F40" w:rsidRPr="000E5F40">
        <w:rPr>
          <w:i/>
        </w:rPr>
        <w:t xml:space="preserve">Curr Opin Biotechnol </w:t>
      </w:r>
      <w:r w:rsidR="000E5F40" w:rsidRPr="000E5F40">
        <w:t xml:space="preserve">2016, </w:t>
      </w:r>
      <w:r w:rsidR="000E5F40" w:rsidRPr="000E5F40">
        <w:rPr>
          <w:b/>
        </w:rPr>
        <w:t>39</w:t>
      </w:r>
      <w:r w:rsidR="000E5F40" w:rsidRPr="000E5F40">
        <w:t>:157-166.</w:t>
      </w:r>
    </w:p>
    <w:p w14:paraId="74DEB839" w14:textId="77777777" w:rsidR="000E5F40" w:rsidRPr="000E5F40" w:rsidRDefault="000E5F40" w:rsidP="000E5F40">
      <w:pPr>
        <w:pStyle w:val="EndNoteBibliography"/>
        <w:ind w:left="720" w:hanging="720"/>
      </w:pPr>
      <w:r w:rsidRPr="000E5F40">
        <w:t>2.</w:t>
      </w:r>
      <w:r w:rsidRPr="000E5F40">
        <w:tab/>
        <w:t xml:space="preserve">Lichtblau Y, Zimmermann K, Haldemann B, Lenze D, Hummel M, Leser U: </w:t>
      </w:r>
      <w:r w:rsidRPr="000E5F40">
        <w:rPr>
          <w:b/>
        </w:rPr>
        <w:t xml:space="preserve">Comparative </w:t>
      </w:r>
      <w:r w:rsidRPr="000E5F40">
        <w:rPr>
          <w:b/>
        </w:rPr>
        <w:lastRenderedPageBreak/>
        <w:t>assessment of differential network analysis methods</w:t>
      </w:r>
      <w:r w:rsidRPr="000E5F40">
        <w:t xml:space="preserve">. </w:t>
      </w:r>
      <w:r w:rsidRPr="000E5F40">
        <w:rPr>
          <w:i/>
        </w:rPr>
        <w:t xml:space="preserve">Brief Bioinform </w:t>
      </w:r>
      <w:r w:rsidRPr="000E5F40">
        <w:t xml:space="preserve">2017, </w:t>
      </w:r>
      <w:r w:rsidRPr="000E5F40">
        <w:rPr>
          <w:b/>
        </w:rPr>
        <w:t>18</w:t>
      </w:r>
      <w:r w:rsidRPr="000E5F40">
        <w:t>(5):837-850.</w:t>
      </w:r>
    </w:p>
    <w:p w14:paraId="5256F689" w14:textId="7CAF8719" w:rsidR="008007E6" w:rsidRDefault="00E252EE">
      <w:r>
        <w:fldChar w:fldCharType="end"/>
      </w:r>
    </w:p>
    <w:sectPr w:rsidR="008007E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0512C6" w14:textId="77777777" w:rsidR="00E566EC" w:rsidRDefault="00E566EC" w:rsidP="00EE3A14">
      <w:r>
        <w:separator/>
      </w:r>
    </w:p>
  </w:endnote>
  <w:endnote w:type="continuationSeparator" w:id="0">
    <w:p w14:paraId="2786C4F4" w14:textId="77777777" w:rsidR="00E566EC" w:rsidRDefault="00E566EC" w:rsidP="00EE3A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104C7B" w14:textId="77777777" w:rsidR="00E566EC" w:rsidRDefault="00E566EC" w:rsidP="00EE3A14">
      <w:r>
        <w:separator/>
      </w:r>
    </w:p>
  </w:footnote>
  <w:footnote w:type="continuationSeparator" w:id="0">
    <w:p w14:paraId="5675189D" w14:textId="77777777" w:rsidR="00E566EC" w:rsidRDefault="00E566EC" w:rsidP="00EE3A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AwAGJLMwtLU0sjAyUdpeDU4uLM/DyQAqNaANcsLW0sAAAA"/>
    <w:docVar w:name="EN.InstantFormat" w:val="&lt;ENInstantFormat&gt;&lt;Enabled&gt;1&lt;/Enabled&gt;&lt;ScanUnformatted&gt;1&lt;/ScanUnformatted&gt;&lt;ScanChanges&gt;1&lt;/ScanChanges&gt;&lt;Suspended&gt;0&lt;/Suspended&gt;&lt;/ENInstantFormat&gt;"/>
    <w:docVar w:name="EN.Layout" w:val="&lt;ENLayout&gt;&lt;Style&gt;BMC Bioinformatics&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wafs055kwatawe5ezc50fwdtvpxtvwwpee0&quot;&gt;我的EndNote库&lt;record-ids&gt;&lt;item&gt;26&lt;/item&gt;&lt;item&gt;73&lt;/item&gt;&lt;/record-ids&gt;&lt;/item&gt;&lt;/Libraries&gt;"/>
  </w:docVars>
  <w:rsids>
    <w:rsidRoot w:val="003B4F7A"/>
    <w:rsid w:val="000E5F40"/>
    <w:rsid w:val="00326F92"/>
    <w:rsid w:val="003B4F7A"/>
    <w:rsid w:val="0047286F"/>
    <w:rsid w:val="008007E6"/>
    <w:rsid w:val="00BF5DAB"/>
    <w:rsid w:val="00C05BF9"/>
    <w:rsid w:val="00C61BF1"/>
    <w:rsid w:val="00D04B5D"/>
    <w:rsid w:val="00E252EE"/>
    <w:rsid w:val="00E566EC"/>
    <w:rsid w:val="00E70FD3"/>
    <w:rsid w:val="00EE3A14"/>
    <w:rsid w:val="00F94C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7597BA"/>
  <w15:chartTrackingRefBased/>
  <w15:docId w15:val="{71B08F3C-4BF3-4B1C-BCF4-4210F250C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E3A14"/>
    <w:pPr>
      <w:tabs>
        <w:tab w:val="center" w:pos="4153"/>
        <w:tab w:val="right" w:pos="8306"/>
      </w:tabs>
    </w:pPr>
  </w:style>
  <w:style w:type="character" w:customStyle="1" w:styleId="a4">
    <w:name w:val="页眉 字符"/>
    <w:basedOn w:val="a0"/>
    <w:link w:val="a3"/>
    <w:uiPriority w:val="99"/>
    <w:rsid w:val="00EE3A14"/>
  </w:style>
  <w:style w:type="paragraph" w:styleId="a5">
    <w:name w:val="footer"/>
    <w:basedOn w:val="a"/>
    <w:link w:val="a6"/>
    <w:uiPriority w:val="99"/>
    <w:unhideWhenUsed/>
    <w:rsid w:val="00EE3A14"/>
    <w:pPr>
      <w:tabs>
        <w:tab w:val="center" w:pos="4153"/>
        <w:tab w:val="right" w:pos="8306"/>
      </w:tabs>
    </w:pPr>
  </w:style>
  <w:style w:type="character" w:customStyle="1" w:styleId="a6">
    <w:name w:val="页脚 字符"/>
    <w:basedOn w:val="a0"/>
    <w:link w:val="a5"/>
    <w:uiPriority w:val="99"/>
    <w:rsid w:val="00EE3A14"/>
  </w:style>
  <w:style w:type="paragraph" w:customStyle="1" w:styleId="EndNoteBibliographyTitle">
    <w:name w:val="EndNote Bibliography Title"/>
    <w:basedOn w:val="a"/>
    <w:link w:val="EndNoteBibliographyTitle0"/>
    <w:rsid w:val="00E252EE"/>
    <w:pPr>
      <w:jc w:val="center"/>
    </w:pPr>
    <w:rPr>
      <w:rFonts w:ascii="Times New Roman" w:eastAsia="等线" w:hAnsi="Times New Roman" w:cs="Times New Roman"/>
      <w:noProof/>
      <w:sz w:val="20"/>
    </w:rPr>
  </w:style>
  <w:style w:type="character" w:customStyle="1" w:styleId="EndNoteBibliographyTitle0">
    <w:name w:val="EndNote Bibliography Title 字符"/>
    <w:basedOn w:val="a0"/>
    <w:link w:val="EndNoteBibliographyTitle"/>
    <w:rsid w:val="00E252EE"/>
    <w:rPr>
      <w:rFonts w:ascii="Times New Roman" w:eastAsia="等线" w:hAnsi="Times New Roman" w:cs="Times New Roman"/>
      <w:noProof/>
      <w:sz w:val="20"/>
    </w:rPr>
  </w:style>
  <w:style w:type="paragraph" w:customStyle="1" w:styleId="EndNoteBibliography">
    <w:name w:val="EndNote Bibliography"/>
    <w:basedOn w:val="a"/>
    <w:link w:val="EndNoteBibliography0"/>
    <w:rsid w:val="00E252EE"/>
    <w:rPr>
      <w:rFonts w:ascii="Times New Roman" w:eastAsia="等线" w:hAnsi="Times New Roman" w:cs="Times New Roman"/>
      <w:noProof/>
      <w:sz w:val="20"/>
    </w:rPr>
  </w:style>
  <w:style w:type="character" w:customStyle="1" w:styleId="EndNoteBibliography0">
    <w:name w:val="EndNote Bibliography 字符"/>
    <w:basedOn w:val="a0"/>
    <w:link w:val="EndNoteBibliography"/>
    <w:rsid w:val="00E252EE"/>
    <w:rPr>
      <w:rFonts w:ascii="Times New Roman" w:eastAsia="等线" w:hAnsi="Times New Roman" w:cs="Times New Roman"/>
      <w:noProof/>
      <w:sz w:val="20"/>
    </w:rPr>
  </w:style>
  <w:style w:type="paragraph" w:styleId="a7">
    <w:name w:val="Balloon Text"/>
    <w:basedOn w:val="a"/>
    <w:link w:val="a8"/>
    <w:uiPriority w:val="99"/>
    <w:semiHidden/>
    <w:unhideWhenUsed/>
    <w:rsid w:val="00E252EE"/>
    <w:rPr>
      <w:rFonts w:ascii="Microsoft YaHei UI" w:eastAsia="Microsoft YaHei UI"/>
      <w:sz w:val="18"/>
      <w:szCs w:val="18"/>
    </w:rPr>
  </w:style>
  <w:style w:type="character" w:customStyle="1" w:styleId="a8">
    <w:name w:val="批注框文本 字符"/>
    <w:basedOn w:val="a0"/>
    <w:link w:val="a7"/>
    <w:uiPriority w:val="99"/>
    <w:semiHidden/>
    <w:rsid w:val="00E252EE"/>
    <w:rPr>
      <w:rFonts w:ascii="Microsoft YaHei UI" w:eastAsia="Microsoft YaHei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95</TotalTime>
  <Pages>2</Pages>
  <Words>568</Words>
  <Characters>3242</Characters>
  <Application>Microsoft Office Word</Application>
  <DocSecurity>0</DocSecurity>
  <Lines>27</Lines>
  <Paragraphs>7</Paragraphs>
  <ScaleCrop>false</ScaleCrop>
  <Company/>
  <LinksUpToDate>false</LinksUpToDate>
  <CharactersWithSpaces>3803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creven yeung</dc:creator>
  <cp:keywords/>
  <dc:description/>
  <cp:lastModifiedBy>creven yeung</cp:lastModifiedBy>
  <cp:revision>7</cp:revision>
  <dcterms:created xsi:type="dcterms:W3CDTF">2019-12-05T06:46:00Z</dcterms:created>
  <dcterms:modified xsi:type="dcterms:W3CDTF">2019-12-05T12:32:00Z</dcterms:modified>
</cp:coreProperties>
</file>